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B1" w:rsidRDefault="006114B1">
      <w:r>
        <w:t>This document provides institutional context and framing</w:t>
      </w:r>
      <w:r w:rsidR="00E92382">
        <w:t xml:space="preserve"> to</w:t>
      </w:r>
      <w:r>
        <w:t xml:space="preserve"> aid external evaluators of my research portfolio. The important contextual features are </w:t>
      </w:r>
    </w:p>
    <w:p w:rsidR="006114B1" w:rsidRDefault="006114B1" w:rsidP="006114B1">
      <w:pPr>
        <w:pStyle w:val="ListParagraph"/>
        <w:numPr>
          <w:ilvl w:val="0"/>
          <w:numId w:val="1"/>
        </w:numPr>
      </w:pPr>
      <w:r>
        <w:t>Boise State University’s embrace of the Boyer model of scholarship</w:t>
      </w:r>
      <w:r w:rsidR="00617C0C">
        <w:t>.</w:t>
      </w:r>
    </w:p>
    <w:p w:rsidR="006114B1" w:rsidRDefault="00617C0C" w:rsidP="006114B1">
      <w:pPr>
        <w:pStyle w:val="ListParagraph"/>
        <w:numPr>
          <w:ilvl w:val="0"/>
          <w:numId w:val="1"/>
        </w:numPr>
      </w:pPr>
      <w:r>
        <w:t xml:space="preserve">Grouping of papers into </w:t>
      </w:r>
      <w:r w:rsidR="00974BF7">
        <w:t>4 projects</w:t>
      </w:r>
      <w:r>
        <w:t xml:space="preserve">, each </w:t>
      </w:r>
      <w:r w:rsidR="00974BF7">
        <w:t xml:space="preserve">described relative </w:t>
      </w:r>
      <w:r w:rsidR="006114B1">
        <w:t xml:space="preserve">to workload allocation. </w:t>
      </w:r>
    </w:p>
    <w:p w:rsidR="00E92382" w:rsidRPr="00E92382" w:rsidRDefault="005E5C91">
      <w:pPr>
        <w:rPr>
          <w:u w:val="single"/>
        </w:rPr>
      </w:pPr>
      <w:r>
        <w:rPr>
          <w:u w:val="single"/>
        </w:rPr>
        <w:t xml:space="preserve">1. </w:t>
      </w:r>
      <w:r w:rsidR="00E92382" w:rsidRPr="00E92382">
        <w:rPr>
          <w:u w:val="single"/>
        </w:rPr>
        <w:t>Boyer Model</w:t>
      </w:r>
    </w:p>
    <w:p w:rsidR="00C95594" w:rsidRDefault="00B47FC9">
      <w:r>
        <w:t>Boise State tenure and promotion policies endorse</w:t>
      </w:r>
      <w:r w:rsidR="00C95594">
        <w:t xml:space="preserve"> the Boyer model of scholarship, described in </w:t>
      </w:r>
      <w:r w:rsidR="00C95594">
        <w:br/>
      </w:r>
      <w:hyperlink r:id="rId5" w:history="1">
        <w:r w:rsidR="00C95594">
          <w:rPr>
            <w:rStyle w:val="Hyperlink"/>
          </w:rPr>
          <w:t>University Policy</w:t>
        </w:r>
      </w:hyperlink>
      <w:r w:rsidR="00C95594">
        <w:t xml:space="preserve">, section III.B.2, and in more detail in </w:t>
      </w:r>
      <w:hyperlink r:id="rId6" w:anchor="page=9" w:history="1">
        <w:r w:rsidR="00C95594">
          <w:rPr>
            <w:rStyle w:val="Hyperlink"/>
          </w:rPr>
          <w:t>College Policy</w:t>
        </w:r>
      </w:hyperlink>
      <w:r w:rsidR="00C95594">
        <w:t xml:space="preserve">, beginning on page 9. </w:t>
      </w:r>
      <w:r w:rsidR="00E92382">
        <w:t xml:space="preserve">  For the purposes of this document, two of the four Boyer categories are most relevant:</w:t>
      </w:r>
    </w:p>
    <w:p w:rsidR="00E92382" w:rsidRDefault="00E92382">
      <w:r w:rsidRPr="00E92382">
        <w:rPr>
          <w:b/>
        </w:rPr>
        <w:t>Scholarship of Discovery and Creation.</w:t>
      </w:r>
      <w:r>
        <w:t xml:space="preserve">  This is the traditional academic work product, resulting in new knowledge disseminated through peer reviewed journal articles or similar publications.</w:t>
      </w:r>
    </w:p>
    <w:p w:rsidR="00E92382" w:rsidRDefault="00E92382" w:rsidP="00E92382">
      <w:r w:rsidRPr="00E92382">
        <w:rPr>
          <w:b/>
        </w:rPr>
        <w:t>Scholarship of Teaching and Learning</w:t>
      </w:r>
      <w:r>
        <w:t xml:space="preserve">.   Disciplinary expertise is applied to study and inform educational practice, typically but not necessarily resulting in peer reviewed publications.  </w:t>
      </w:r>
    </w:p>
    <w:p w:rsidR="00FD3A76" w:rsidRDefault="00E92382">
      <w:r>
        <w:t>Some of my work is a</w:t>
      </w:r>
      <w:r w:rsidR="00887C82">
        <w:t>lso potentially classifiable in the Boyer category Scholarship of Application</w:t>
      </w:r>
      <w:r w:rsidR="00617C0C">
        <w:t xml:space="preserve"> and E</w:t>
      </w:r>
      <w:r w:rsidR="00887C82">
        <w:t xml:space="preserve">ngagement, particularly as it has informed my long term efforts to effect institutional changes in teaching practices and culture. </w:t>
      </w:r>
    </w:p>
    <w:p w:rsidR="006F002E" w:rsidRDefault="005E5C91" w:rsidP="00974BF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2. </w:t>
      </w:r>
      <w:r w:rsidR="00974BF7">
        <w:rPr>
          <w:rFonts w:ascii="Arial" w:eastAsia="Times New Roman" w:hAnsi="Arial" w:cs="Arial"/>
          <w:color w:val="222222"/>
          <w:sz w:val="19"/>
          <w:szCs w:val="19"/>
          <w:u w:val="single"/>
        </w:rPr>
        <w:t>Research Projects</w:t>
      </w:r>
      <w:r w:rsidR="00807927">
        <w:t xml:space="preserve"> </w:t>
      </w:r>
    </w:p>
    <w:p w:rsidR="00974BF7" w:rsidRDefault="00974BF7" w:rsidP="00974BF7">
      <w:pPr>
        <w:shd w:val="clear" w:color="auto" w:fill="FFFFFF"/>
        <w:spacing w:after="0" w:line="240" w:lineRule="auto"/>
      </w:pPr>
    </w:p>
    <w:p w:rsidR="00974BF7" w:rsidRPr="004978B8" w:rsidRDefault="00974BF7" w:rsidP="00974BF7">
      <w:pPr>
        <w:rPr>
          <w:b/>
        </w:rPr>
      </w:pPr>
      <w:r>
        <w:t xml:space="preserve">Papers from each project are grouped </w:t>
      </w:r>
      <w:r w:rsidR="00617C0C">
        <w:t xml:space="preserve">in the </w:t>
      </w:r>
      <w:hyperlink r:id="rId7" w:history="1">
        <w:r>
          <w:rPr>
            <w:rStyle w:val="Hyperlink"/>
          </w:rPr>
          <w:t>web archive</w:t>
        </w:r>
      </w:hyperlink>
      <w:r>
        <w:t>.   Relationship to workload is shown in the chart below.</w:t>
      </w:r>
    </w:p>
    <w:p w:rsidR="00A34E32" w:rsidRPr="004978B8" w:rsidRDefault="00A34E32" w:rsidP="00A34E32">
      <w:pPr>
        <w:rPr>
          <w:b/>
        </w:rPr>
      </w:pPr>
      <w:r w:rsidRPr="004978B8">
        <w:rPr>
          <w:b/>
        </w:rPr>
        <w:t>Quantum Topology</w:t>
      </w:r>
      <w:r w:rsidR="001B6A72">
        <w:rPr>
          <w:b/>
        </w:rPr>
        <w:t>,</w:t>
      </w:r>
      <w:r w:rsidR="004978B8" w:rsidRPr="004978B8">
        <w:rPr>
          <w:b/>
        </w:rPr>
        <w:t xml:space="preserve"> 2001</w:t>
      </w:r>
      <w:r w:rsidR="004978B8">
        <w:rPr>
          <w:b/>
        </w:rPr>
        <w:t>—</w:t>
      </w:r>
      <w:r w:rsidR="004978B8" w:rsidRPr="004978B8">
        <w:rPr>
          <w:b/>
        </w:rPr>
        <w:t>2005</w:t>
      </w:r>
      <w:r>
        <w:t xml:space="preserve">.  </w:t>
      </w:r>
      <w:r w:rsidR="001B6A72">
        <w:t>T</w:t>
      </w:r>
      <w:r>
        <w:t xml:space="preserve">he tail end of the research program that </w:t>
      </w:r>
      <w:r w:rsidR="004978B8">
        <w:t xml:space="preserve">I </w:t>
      </w:r>
      <w:r>
        <w:t xml:space="preserve">began in graduate school.  All of the work is squarely within the first Boyer category – Discovery and Invention.  In this phase of my career I had a typical teaching/service/research workload with 30-40% of time dedicated to research.  In this area of mathematics, authorship is not arranged by first author, second author, etc. </w:t>
      </w:r>
      <w:r w:rsidR="001B6A72">
        <w:t>A</w:t>
      </w:r>
      <w:r>
        <w:t>ll contributors are considered equal contributors</w:t>
      </w:r>
      <w:r w:rsidR="00974BF7">
        <w:t>.</w:t>
      </w:r>
      <w:r w:rsidR="00974BF7" w:rsidRPr="004978B8">
        <w:rPr>
          <w:b/>
        </w:rPr>
        <w:t xml:space="preserve"> </w:t>
      </w:r>
    </w:p>
    <w:p w:rsidR="00A34E32" w:rsidRDefault="004978B8">
      <w:r>
        <w:rPr>
          <w:b/>
        </w:rPr>
        <w:t>ALEKS Project</w:t>
      </w:r>
      <w:r w:rsidR="00395039">
        <w:rPr>
          <w:b/>
        </w:rPr>
        <w:t>,</w:t>
      </w:r>
      <w:r w:rsidRPr="004978B8">
        <w:rPr>
          <w:b/>
        </w:rPr>
        <w:t xml:space="preserve"> 200</w:t>
      </w:r>
      <w:r>
        <w:rPr>
          <w:b/>
        </w:rPr>
        <w:t>7—</w:t>
      </w:r>
      <w:r w:rsidRPr="004978B8">
        <w:rPr>
          <w:b/>
        </w:rPr>
        <w:t>20</w:t>
      </w:r>
      <w:r>
        <w:rPr>
          <w:b/>
        </w:rPr>
        <w:t>12</w:t>
      </w:r>
      <w:r>
        <w:t xml:space="preserve">. </w:t>
      </w:r>
      <w:r w:rsidR="00A34E32">
        <w:t xml:space="preserve"> </w:t>
      </w:r>
      <w:r>
        <w:t xml:space="preserve"> </w:t>
      </w:r>
      <w:r w:rsidR="001B6A72">
        <w:t>A</w:t>
      </w:r>
      <w:r w:rsidR="001B6A72" w:rsidRPr="001B6A72">
        <w:rPr>
          <w:rFonts w:eastAsia="Times New Roman" w:cstheme="minorHAnsi"/>
          <w:color w:val="222222"/>
        </w:rPr>
        <w:t xml:space="preserve"> pedagogical and course design project incorporating the use of a computer learning system (ALEKS) into Calculus</w:t>
      </w:r>
      <w:r w:rsidR="001B6A72">
        <w:rPr>
          <w:rFonts w:eastAsia="Times New Roman" w:cstheme="minorHAnsi"/>
          <w:color w:val="222222"/>
        </w:rPr>
        <w:t xml:space="preserve"> and </w:t>
      </w:r>
      <w:proofErr w:type="spellStart"/>
      <w:r w:rsidR="001B6A72">
        <w:rPr>
          <w:rFonts w:eastAsia="Times New Roman" w:cstheme="minorHAnsi"/>
          <w:color w:val="222222"/>
        </w:rPr>
        <w:t>Precalculus</w:t>
      </w:r>
      <w:proofErr w:type="spellEnd"/>
      <w:r w:rsidR="001B6A72">
        <w:rPr>
          <w:rFonts w:eastAsia="Times New Roman" w:cstheme="minorHAnsi"/>
          <w:color w:val="222222"/>
        </w:rPr>
        <w:t xml:space="preserve">.  </w:t>
      </w:r>
      <w:r w:rsidR="00A34E32" w:rsidRPr="001B6A72">
        <w:rPr>
          <w:rFonts w:cstheme="minorHAnsi"/>
        </w:rPr>
        <w:t xml:space="preserve">Within the Boyer model this is primarily in the category of </w:t>
      </w:r>
      <w:r w:rsidRPr="001B6A72">
        <w:rPr>
          <w:rFonts w:cstheme="minorHAnsi"/>
        </w:rPr>
        <w:t>Teachin</w:t>
      </w:r>
      <w:r w:rsidR="001B6A72">
        <w:rPr>
          <w:rFonts w:cstheme="minorHAnsi"/>
        </w:rPr>
        <w:t>g</w:t>
      </w:r>
      <w:r w:rsidRPr="001B6A72">
        <w:rPr>
          <w:rFonts w:cstheme="minorHAnsi"/>
        </w:rPr>
        <w:t xml:space="preserve"> and Learning</w:t>
      </w:r>
      <w:r w:rsidR="00A34E32" w:rsidRPr="001B6A72">
        <w:rPr>
          <w:rFonts w:cstheme="minorHAnsi"/>
        </w:rPr>
        <w:t xml:space="preserve">, but </w:t>
      </w:r>
      <w:r w:rsidR="001B6A72">
        <w:rPr>
          <w:rFonts w:cstheme="minorHAnsi"/>
        </w:rPr>
        <w:t>possibly Application and E</w:t>
      </w:r>
      <w:r w:rsidR="00A34E32" w:rsidRPr="001B6A72">
        <w:rPr>
          <w:rFonts w:cstheme="minorHAnsi"/>
        </w:rPr>
        <w:t>ngagement</w:t>
      </w:r>
      <w:r w:rsidR="001B6A72">
        <w:rPr>
          <w:rFonts w:cstheme="minorHAnsi"/>
        </w:rPr>
        <w:t xml:space="preserve"> as well, particularly as the work informed changes to classroom practices and broader departmental and institutional culture. </w:t>
      </w:r>
      <w:r w:rsidR="00974BF7">
        <w:rPr>
          <w:rFonts w:cstheme="minorHAnsi"/>
        </w:rPr>
        <w:t xml:space="preserve"> I was department chair, with less than 10% of time available for research.  As a result, I am typically second or third author. </w:t>
      </w:r>
    </w:p>
    <w:p w:rsidR="00617C0C" w:rsidRDefault="001B6A72">
      <w:r>
        <w:rPr>
          <w:b/>
        </w:rPr>
        <w:t>Calculus Project</w:t>
      </w:r>
      <w:r w:rsidR="00395039">
        <w:rPr>
          <w:b/>
        </w:rPr>
        <w:t>,</w:t>
      </w:r>
      <w:r w:rsidR="00974BF7">
        <w:rPr>
          <w:b/>
        </w:rPr>
        <w:t xml:space="preserve"> 2011</w:t>
      </w:r>
      <w:r>
        <w:rPr>
          <w:b/>
        </w:rPr>
        <w:t>—</w:t>
      </w:r>
      <w:r>
        <w:t>.</w:t>
      </w:r>
      <w:r w:rsidR="00395039">
        <w:t xml:space="preserve">  </w:t>
      </w:r>
      <w:r w:rsidR="00974BF7">
        <w:t xml:space="preserve"> A</w:t>
      </w:r>
      <w:r w:rsidR="00331133">
        <w:t>n ongoing effort to transform Calculus</w:t>
      </w:r>
      <w:r w:rsidR="00974BF7">
        <w:t>.  Primarily scholarship of Teaching and Learning</w:t>
      </w:r>
      <w:r w:rsidR="00331133">
        <w:t xml:space="preserve">, </w:t>
      </w:r>
      <w:r w:rsidR="00974BF7">
        <w:t xml:space="preserve">but possibly Application and Engagement due to broader impacts on practices.  I was the principle investigator and project leader, and I am first author on all of the important papers.  For three years of the project I was able to devote considerable time to research, as I was between official administrative assignments.  </w:t>
      </w:r>
    </w:p>
    <w:p w:rsidR="00331133" w:rsidRDefault="00617C0C" w:rsidP="00617C0C">
      <w:r>
        <w:rPr>
          <w:b/>
        </w:rPr>
        <w:t>Other Projects, 2003—</w:t>
      </w:r>
      <w:r>
        <w:t xml:space="preserve">.   I have been continuously engaged in a series of student success and institutional transformation initiatives, mostly in an administrative or other leadership role.  I have been a secondary author on a few papers that have come out of these initiatives.  </w:t>
      </w:r>
    </w:p>
    <w:p w:rsidR="00617C0C" w:rsidRPr="00A75A81" w:rsidRDefault="00617C0C" w:rsidP="00617C0C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CB850D4" wp14:editId="360191C9">
            <wp:extent cx="5895975" cy="41243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7C0C" w:rsidRDefault="00617C0C" w:rsidP="00617C0C"/>
    <w:sectPr w:rsidR="0061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D86"/>
    <w:multiLevelType w:val="hybridMultilevel"/>
    <w:tmpl w:val="B59E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6A"/>
    <w:rsid w:val="000A5532"/>
    <w:rsid w:val="0012093F"/>
    <w:rsid w:val="001B6A72"/>
    <w:rsid w:val="0021496A"/>
    <w:rsid w:val="002865E5"/>
    <w:rsid w:val="00331133"/>
    <w:rsid w:val="00395039"/>
    <w:rsid w:val="003F3226"/>
    <w:rsid w:val="0045767F"/>
    <w:rsid w:val="00485869"/>
    <w:rsid w:val="004978B8"/>
    <w:rsid w:val="005E5C91"/>
    <w:rsid w:val="006114B1"/>
    <w:rsid w:val="006163CC"/>
    <w:rsid w:val="00617C0C"/>
    <w:rsid w:val="006613D7"/>
    <w:rsid w:val="00677B5E"/>
    <w:rsid w:val="00691F31"/>
    <w:rsid w:val="006F002E"/>
    <w:rsid w:val="007623AE"/>
    <w:rsid w:val="007F7D27"/>
    <w:rsid w:val="00807927"/>
    <w:rsid w:val="00866943"/>
    <w:rsid w:val="00887C82"/>
    <w:rsid w:val="008C68CB"/>
    <w:rsid w:val="00974BF7"/>
    <w:rsid w:val="00A34E32"/>
    <w:rsid w:val="00A83D5C"/>
    <w:rsid w:val="00AC6496"/>
    <w:rsid w:val="00AE6E8D"/>
    <w:rsid w:val="00B47FC9"/>
    <w:rsid w:val="00C716FA"/>
    <w:rsid w:val="00C91D25"/>
    <w:rsid w:val="00C95594"/>
    <w:rsid w:val="00CA5843"/>
    <w:rsid w:val="00E92382"/>
    <w:rsid w:val="00EB06ED"/>
    <w:rsid w:val="00EC36C1"/>
    <w:rsid w:val="00FD3A76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ECD9"/>
  <w15:chartTrackingRefBased/>
  <w15:docId w15:val="{3E23E8C7-AB13-4212-A129-42B5AD4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5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5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hausdorff.boisestate.edu/pub_archiv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as.boisestate.edu/wp-content/uploads/2018/03/Current-COAS-TP-Final-Policy-AS-4340_3-20-2017-Minor-Update-3-29-18.pdf" TargetMode="External"/><Relationship Id="rId5" Type="http://schemas.openxmlformats.org/officeDocument/2006/relationships/hyperlink" Target="https://policy.boisestate.edu/academic-affairs-faculty-administration/policy-title-faculty-promotion-guidelin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Workload Percentages</a:t>
            </a:r>
            <a:r>
              <a:rPr lang="en-US" b="1" baseline="0"/>
              <a:t> and Publications by Academic Year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033134830955803E-2"/>
          <c:y val="9.4983247672819029E-2"/>
          <c:w val="0.58710507555509006"/>
          <c:h val="0.754018762396753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Research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Sheet1!$B$2:$B$18</c:f>
              <c:strCache>
                <c:ptCount val="17"/>
                <c:pt idx="0">
                  <c:v>2001-02</c:v>
                </c:pt>
                <c:pt idx="1">
                  <c:v>2002-03</c:v>
                </c:pt>
                <c:pt idx="2">
                  <c:v>2003-04</c:v>
                </c:pt>
                <c:pt idx="3">
                  <c:v>2004-05</c:v>
                </c:pt>
                <c:pt idx="4">
                  <c:v>2005-06</c:v>
                </c:pt>
                <c:pt idx="5">
                  <c:v>2006-07</c:v>
                </c:pt>
                <c:pt idx="6">
                  <c:v>2007-08</c:v>
                </c:pt>
                <c:pt idx="7">
                  <c:v>2008-09</c:v>
                </c:pt>
                <c:pt idx="8">
                  <c:v>2009-10</c:v>
                </c:pt>
                <c:pt idx="9">
                  <c:v>2010-11</c:v>
                </c:pt>
                <c:pt idx="10">
                  <c:v>2011-12</c:v>
                </c:pt>
                <c:pt idx="11">
                  <c:v>2012-13</c:v>
                </c:pt>
                <c:pt idx="12">
                  <c:v>2013-14</c:v>
                </c:pt>
                <c:pt idx="13">
                  <c:v>2014-15</c:v>
                </c:pt>
                <c:pt idx="14">
                  <c:v>2015-16</c:v>
                </c:pt>
                <c:pt idx="15">
                  <c:v>2016-17</c:v>
                </c:pt>
                <c:pt idx="16">
                  <c:v>2017-18</c:v>
                </c:pt>
              </c:strCache>
            </c:strRef>
          </c:cat>
          <c:val>
            <c:numRef>
              <c:f>Sheet1!$C$2:$C$18</c:f>
              <c:numCache>
                <c:formatCode>0%</c:formatCode>
                <c:ptCount val="17"/>
                <c:pt idx="0">
                  <c:v>0.36666666666666664</c:v>
                </c:pt>
                <c:pt idx="1">
                  <c:v>0.3</c:v>
                </c:pt>
                <c:pt idx="2">
                  <c:v>0.26666666666666666</c:v>
                </c:pt>
                <c:pt idx="3">
                  <c:v>0.3</c:v>
                </c:pt>
                <c:pt idx="4">
                  <c:v>0.33333333333333331</c:v>
                </c:pt>
                <c:pt idx="5">
                  <c:v>0.3</c:v>
                </c:pt>
                <c:pt idx="6">
                  <c:v>6.6666666666666666E-2</c:v>
                </c:pt>
                <c:pt idx="7">
                  <c:v>6.6666666666666666E-2</c:v>
                </c:pt>
                <c:pt idx="8">
                  <c:v>6.6666666666666666E-2</c:v>
                </c:pt>
                <c:pt idx="9">
                  <c:v>6.6666666666666666E-2</c:v>
                </c:pt>
                <c:pt idx="10">
                  <c:v>6.6666666666666666E-2</c:v>
                </c:pt>
                <c:pt idx="11">
                  <c:v>6.6666666666666666E-2</c:v>
                </c:pt>
                <c:pt idx="12">
                  <c:v>0.4</c:v>
                </c:pt>
                <c:pt idx="13">
                  <c:v>0.33333333333333331</c:v>
                </c:pt>
                <c:pt idx="14">
                  <c:v>0.7</c:v>
                </c:pt>
                <c:pt idx="15">
                  <c:v>6.6666666666666666E-2</c:v>
                </c:pt>
                <c:pt idx="16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A-4AAF-A64C-93D3C72F0475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Teaching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Sheet1!$B$2:$B$18</c:f>
              <c:strCache>
                <c:ptCount val="17"/>
                <c:pt idx="0">
                  <c:v>2001-02</c:v>
                </c:pt>
                <c:pt idx="1">
                  <c:v>2002-03</c:v>
                </c:pt>
                <c:pt idx="2">
                  <c:v>2003-04</c:v>
                </c:pt>
                <c:pt idx="3">
                  <c:v>2004-05</c:v>
                </c:pt>
                <c:pt idx="4">
                  <c:v>2005-06</c:v>
                </c:pt>
                <c:pt idx="5">
                  <c:v>2006-07</c:v>
                </c:pt>
                <c:pt idx="6">
                  <c:v>2007-08</c:v>
                </c:pt>
                <c:pt idx="7">
                  <c:v>2008-09</c:v>
                </c:pt>
                <c:pt idx="8">
                  <c:v>2009-10</c:v>
                </c:pt>
                <c:pt idx="9">
                  <c:v>2010-11</c:v>
                </c:pt>
                <c:pt idx="10">
                  <c:v>2011-12</c:v>
                </c:pt>
                <c:pt idx="11">
                  <c:v>2012-13</c:v>
                </c:pt>
                <c:pt idx="12">
                  <c:v>2013-14</c:v>
                </c:pt>
                <c:pt idx="13">
                  <c:v>2014-15</c:v>
                </c:pt>
                <c:pt idx="14">
                  <c:v>2015-16</c:v>
                </c:pt>
                <c:pt idx="15">
                  <c:v>2016-17</c:v>
                </c:pt>
                <c:pt idx="16">
                  <c:v>2017-18</c:v>
                </c:pt>
              </c:strCache>
            </c:strRef>
          </c:cat>
          <c:val>
            <c:numRef>
              <c:f>Sheet1!$D$2:$D$18</c:f>
              <c:numCache>
                <c:formatCode>0%</c:formatCode>
                <c:ptCount val="17"/>
                <c:pt idx="0">
                  <c:v>0.43333333333333335</c:v>
                </c:pt>
                <c:pt idx="1">
                  <c:v>0.5</c:v>
                </c:pt>
                <c:pt idx="2">
                  <c:v>0.53333333333333333</c:v>
                </c:pt>
                <c:pt idx="3">
                  <c:v>0.5</c:v>
                </c:pt>
                <c:pt idx="4">
                  <c:v>0.46666666666666667</c:v>
                </c:pt>
                <c:pt idx="5">
                  <c:v>0.5</c:v>
                </c:pt>
                <c:pt idx="6">
                  <c:v>0.26666666666666666</c:v>
                </c:pt>
                <c:pt idx="7">
                  <c:v>0.23333333333333334</c:v>
                </c:pt>
                <c:pt idx="8">
                  <c:v>0.26666666666666666</c:v>
                </c:pt>
                <c:pt idx="9">
                  <c:v>0.26666666666666666</c:v>
                </c:pt>
                <c:pt idx="10">
                  <c:v>0.26666666666666666</c:v>
                </c:pt>
                <c:pt idx="11">
                  <c:v>0.26666666666666666</c:v>
                </c:pt>
                <c:pt idx="12">
                  <c:v>0.33333333333333331</c:v>
                </c:pt>
                <c:pt idx="13">
                  <c:v>0.4</c:v>
                </c:pt>
                <c:pt idx="14">
                  <c:v>0.13333333333333333</c:v>
                </c:pt>
                <c:pt idx="15">
                  <c:v>0.26666666666666666</c:v>
                </c:pt>
                <c:pt idx="16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A-4AAF-A64C-93D3C72F0475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Service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Sheet1!$B$2:$B$18</c:f>
              <c:strCache>
                <c:ptCount val="17"/>
                <c:pt idx="0">
                  <c:v>2001-02</c:v>
                </c:pt>
                <c:pt idx="1">
                  <c:v>2002-03</c:v>
                </c:pt>
                <c:pt idx="2">
                  <c:v>2003-04</c:v>
                </c:pt>
                <c:pt idx="3">
                  <c:v>2004-05</c:v>
                </c:pt>
                <c:pt idx="4">
                  <c:v>2005-06</c:v>
                </c:pt>
                <c:pt idx="5">
                  <c:v>2006-07</c:v>
                </c:pt>
                <c:pt idx="6">
                  <c:v>2007-08</c:v>
                </c:pt>
                <c:pt idx="7">
                  <c:v>2008-09</c:v>
                </c:pt>
                <c:pt idx="8">
                  <c:v>2009-10</c:v>
                </c:pt>
                <c:pt idx="9">
                  <c:v>2010-11</c:v>
                </c:pt>
                <c:pt idx="10">
                  <c:v>2011-12</c:v>
                </c:pt>
                <c:pt idx="11">
                  <c:v>2012-13</c:v>
                </c:pt>
                <c:pt idx="12">
                  <c:v>2013-14</c:v>
                </c:pt>
                <c:pt idx="13">
                  <c:v>2014-15</c:v>
                </c:pt>
                <c:pt idx="14">
                  <c:v>2015-16</c:v>
                </c:pt>
                <c:pt idx="15">
                  <c:v>2016-17</c:v>
                </c:pt>
                <c:pt idx="16">
                  <c:v>2017-18</c:v>
                </c:pt>
              </c:strCache>
            </c:strRef>
          </c:cat>
          <c:val>
            <c:numRef>
              <c:f>Sheet1!$E$2:$E$18</c:f>
              <c:numCache>
                <c:formatCode>0%</c:formatCode>
                <c:ptCount val="17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0.66666666666666663</c:v>
                </c:pt>
                <c:pt idx="7">
                  <c:v>0.7</c:v>
                </c:pt>
                <c:pt idx="8">
                  <c:v>0.66666666666666663</c:v>
                </c:pt>
                <c:pt idx="9">
                  <c:v>0.66666666666666663</c:v>
                </c:pt>
                <c:pt idx="10">
                  <c:v>0.66666666666666663</c:v>
                </c:pt>
                <c:pt idx="11">
                  <c:v>0.66666666666666663</c:v>
                </c:pt>
                <c:pt idx="12">
                  <c:v>0.26666666666666666</c:v>
                </c:pt>
                <c:pt idx="13">
                  <c:v>0.26666666666666666</c:v>
                </c:pt>
                <c:pt idx="14">
                  <c:v>0.16666666666666666</c:v>
                </c:pt>
                <c:pt idx="15">
                  <c:v>0.66666666666666663</c:v>
                </c:pt>
                <c:pt idx="16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A-4AAF-A64C-93D3C72F0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979231"/>
        <c:axId val="1114979647"/>
      </c:barChart>
      <c:lineChart>
        <c:grouping val="standard"/>
        <c:varyColors val="0"/>
        <c:ser>
          <c:idx val="3"/>
          <c:order val="3"/>
          <c:tx>
            <c:strRef>
              <c:f>Sheet1!$I$1</c:f>
              <c:strCache>
                <c:ptCount val="1"/>
                <c:pt idx="0">
                  <c:v>Toplogy Papers - Joint Author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Sheet1!$I$2:$I$18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CA-4AAF-A64C-93D3C72F0475}"/>
            </c:ext>
          </c:extLst>
        </c:ser>
        <c:ser>
          <c:idx val="4"/>
          <c:order val="4"/>
          <c:tx>
            <c:strRef>
              <c:f>Sheet1!$J$1</c:f>
              <c:strCache>
                <c:ptCount val="1"/>
                <c:pt idx="0">
                  <c:v>ALEKS Papers - Secondary Author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val>
            <c:numRef>
              <c:f>Sheet1!$J$2:$J$18</c:f>
              <c:numCache>
                <c:formatCode>General</c:formatCode>
                <c:ptCount val="17"/>
                <c:pt idx="6">
                  <c:v>0</c:v>
                </c:pt>
                <c:pt idx="7">
                  <c:v>0</c:v>
                </c:pt>
                <c:pt idx="1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DCA-4AAF-A64C-93D3C72F0475}"/>
            </c:ext>
          </c:extLst>
        </c:ser>
        <c:ser>
          <c:idx val="5"/>
          <c:order val="5"/>
          <c:tx>
            <c:strRef>
              <c:f>Sheet1!$L$1</c:f>
              <c:strCache>
                <c:ptCount val="1"/>
                <c:pt idx="0">
                  <c:v>Calculus Papers - First Author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Sheet1!$L$2:$L$18</c:f>
              <c:numCache>
                <c:formatCode>General</c:formatCode>
                <c:ptCount val="17"/>
                <c:pt idx="10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DCA-4AAF-A64C-93D3C72F0475}"/>
            </c:ext>
          </c:extLst>
        </c:ser>
        <c:ser>
          <c:idx val="6"/>
          <c:order val="6"/>
          <c:tx>
            <c:strRef>
              <c:f>Sheet1!$M$1</c:f>
              <c:strCache>
                <c:ptCount val="1"/>
                <c:pt idx="0">
                  <c:v>Other - Secondary Author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10"/>
            <c:spPr>
              <a:solidFill>
                <a:srgbClr val="FFC000"/>
              </a:solidFill>
              <a:ln w="9525">
                <a:noFill/>
              </a:ln>
              <a:effectLst/>
            </c:spPr>
          </c:marker>
          <c:val>
            <c:numRef>
              <c:f>Sheet1!$M$2:$M$18</c:f>
              <c:numCache>
                <c:formatCode>General</c:formatCode>
                <c:ptCount val="17"/>
                <c:pt idx="9">
                  <c:v>0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DCA-4AAF-A64C-93D3C72F0475}"/>
            </c:ext>
          </c:extLst>
        </c:ser>
        <c:ser>
          <c:idx val="7"/>
          <c:order val="7"/>
          <c:spPr>
            <a:ln w="25400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val>
            <c:numRef>
              <c:f>Sheet1!$K$2:$K$18</c:f>
              <c:numCache>
                <c:formatCode>General</c:formatCode>
                <c:ptCount val="17"/>
                <c:pt idx="7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DCA-4AAF-A64C-93D3C72F0475}"/>
            </c:ext>
          </c:extLst>
        </c:ser>
        <c:ser>
          <c:idx val="8"/>
          <c:order val="8"/>
          <c:spPr>
            <a:ln w="25400" cap="rnd">
              <a:noFill/>
              <a:round/>
            </a:ln>
            <a:effectLst/>
          </c:spPr>
          <c:marker>
            <c:symbol val="triangle"/>
            <c:size val="10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val>
            <c:numRef>
              <c:f>Sheet1!$N$2:$N$18</c:f>
              <c:numCache>
                <c:formatCode>General</c:formatCode>
                <c:ptCount val="17"/>
                <c:pt idx="14">
                  <c:v>2</c:v>
                </c:pt>
                <c:pt idx="1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DCA-4AAF-A64C-93D3C72F0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6779151"/>
        <c:axId val="1016784975"/>
      </c:lineChart>
      <c:catAx>
        <c:axId val="111497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4979647"/>
        <c:crosses val="autoZero"/>
        <c:auto val="1"/>
        <c:lblAlgn val="ctr"/>
        <c:lblOffset val="100"/>
        <c:noMultiLvlLbl val="0"/>
      </c:catAx>
      <c:valAx>
        <c:axId val="1114979647"/>
        <c:scaling>
          <c:orientation val="minMax"/>
          <c:max val="1.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4979231"/>
        <c:crosses val="autoZero"/>
        <c:crossBetween val="between"/>
        <c:majorUnit val="0.5"/>
      </c:valAx>
      <c:valAx>
        <c:axId val="1016784975"/>
        <c:scaling>
          <c:orientation val="minMax"/>
          <c:max val="3"/>
          <c:min val="-12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6779151"/>
        <c:crosses val="max"/>
        <c:crossBetween val="between"/>
        <c:majorUnit val="20"/>
      </c:valAx>
      <c:catAx>
        <c:axId val="1016779151"/>
        <c:scaling>
          <c:orientation val="minMax"/>
        </c:scaling>
        <c:delete val="1"/>
        <c:axPos val="b"/>
        <c:majorTickMark val="out"/>
        <c:minorTickMark val="none"/>
        <c:tickLblPos val="nextTo"/>
        <c:crossAx val="10167849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69480549259801694"/>
          <c:y val="0.10260825176431553"/>
          <c:w val="0.28837564527609905"/>
          <c:h val="0.219719348014523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0.18444</cdr:x>
      <cdr:y>0.14834</cdr:y>
    </cdr:from>
    <cdr:to>
      <cdr:x>0.30489</cdr:x>
      <cdr:y>0.31588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00175" y="8096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0.68336</cdr:x>
      <cdr:y>0.38106</cdr:y>
    </cdr:from>
    <cdr:to>
      <cdr:x>0.82399</cdr:x>
      <cdr:y>0.75209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29075" y="1571625"/>
          <a:ext cx="829128" cy="153022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DESKTOP-ADMIN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Bullock</dc:creator>
  <cp:keywords/>
  <dc:description/>
  <cp:lastModifiedBy>Doug Bullock</cp:lastModifiedBy>
  <cp:revision>6</cp:revision>
  <dcterms:created xsi:type="dcterms:W3CDTF">2018-05-23T21:41:00Z</dcterms:created>
  <dcterms:modified xsi:type="dcterms:W3CDTF">2018-05-26T17:43:00Z</dcterms:modified>
</cp:coreProperties>
</file>